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9E347A" w:rsidRDefault="00000000">
      <w:pPr>
        <w:pStyle w:val="berschrift1"/>
        <w:keepNext w:val="0"/>
        <w:keepLines w:val="0"/>
        <w:spacing w:before="0" w:after="240" w:line="240" w:lineRule="auto"/>
        <w:rPr>
          <w:rFonts w:ascii="Roboto" w:eastAsia="Roboto" w:hAnsi="Roboto" w:cs="Roboto"/>
          <w:color w:val="212529"/>
          <w:sz w:val="72"/>
          <w:szCs w:val="72"/>
        </w:rPr>
      </w:pPr>
      <w:bookmarkStart w:id="0" w:name="_byigbh6gthru" w:colFirst="0" w:colLast="0"/>
      <w:bookmarkEnd w:id="0"/>
      <w:r>
        <w:rPr>
          <w:rFonts w:ascii="Roboto" w:eastAsia="Roboto" w:hAnsi="Roboto" w:cs="Roboto"/>
          <w:color w:val="212529"/>
          <w:sz w:val="72"/>
          <w:szCs w:val="72"/>
        </w:rPr>
        <w:t xml:space="preserve">„The Green 100“ am 14. Mai 2025: Österreichs größtes Green Finance-Festival geht in die dritte Runde </w:t>
      </w:r>
    </w:p>
    <w:p w14:paraId="00000002" w14:textId="77777777" w:rsidR="009E347A" w:rsidRDefault="00000000">
      <w:pPr>
        <w:spacing w:after="180" w:line="360" w:lineRule="auto"/>
        <w:rPr>
          <w:rFonts w:ascii="Roboto" w:eastAsia="Roboto" w:hAnsi="Roboto" w:cs="Roboto"/>
          <w:color w:val="212529"/>
          <w:sz w:val="27"/>
          <w:szCs w:val="27"/>
        </w:rPr>
      </w:pPr>
      <w:r>
        <w:rPr>
          <w:rFonts w:ascii="Roboto" w:eastAsia="Roboto" w:hAnsi="Roboto" w:cs="Roboto"/>
          <w:color w:val="212529"/>
          <w:sz w:val="27"/>
          <w:szCs w:val="27"/>
        </w:rPr>
        <w:t xml:space="preserve">Bis 16. Februar 2025 als Start-Up für das Matchmaking bzw. als Aussteller:in für die Messe bewerben </w:t>
      </w:r>
    </w:p>
    <w:p w14:paraId="00000003" w14:textId="13F1C254" w:rsidR="009E347A" w:rsidRDefault="00000000">
      <w:pPr>
        <w:spacing w:after="180" w:line="360" w:lineRule="auto"/>
        <w:rPr>
          <w:rFonts w:ascii="Roboto" w:eastAsia="Roboto" w:hAnsi="Roboto" w:cs="Roboto"/>
          <w:color w:val="555F69"/>
          <w:sz w:val="24"/>
          <w:szCs w:val="24"/>
        </w:rPr>
      </w:pPr>
      <w:r>
        <w:rPr>
          <w:rFonts w:ascii="Roboto" w:eastAsia="Roboto" w:hAnsi="Roboto" w:cs="Roboto"/>
          <w:color w:val="555F69"/>
          <w:sz w:val="24"/>
          <w:szCs w:val="24"/>
        </w:rPr>
        <w:t xml:space="preserve">Am 14. Mai 2025 ist es wieder so weit: Bereits zum dritten Mal veranstaltet der Klima- und Energiefonds „The Green 100“, das größte Green Finance-Festival Österreichs. Die Aula der Wissenschaften in Wien wird damit </w:t>
      </w:r>
      <w:r>
        <w:rPr>
          <w:rFonts w:ascii="Roboto" w:eastAsia="Roboto" w:hAnsi="Roboto" w:cs="Roboto"/>
          <w:i/>
          <w:color w:val="555F69"/>
          <w:sz w:val="24"/>
          <w:szCs w:val="24"/>
        </w:rPr>
        <w:t>the place to be</w:t>
      </w:r>
      <w:r>
        <w:rPr>
          <w:rFonts w:ascii="Roboto" w:eastAsia="Roboto" w:hAnsi="Roboto" w:cs="Roboto"/>
          <w:color w:val="555F69"/>
          <w:sz w:val="24"/>
          <w:szCs w:val="24"/>
        </w:rPr>
        <w:t xml:space="preserve">, um Unternehmen bei der Finanzierung ihrer grünen Projekte zu unterstützen, Investor:innen und Innovator:innen zu vernetzen bzw. zu nachhaltigen Investitionen zu inspirieren. Das Festival umfasst zwei Programmschwerpunkte, die Unternehmen und </w:t>
      </w:r>
      <w:proofErr w:type="gramStart"/>
      <w:r>
        <w:rPr>
          <w:rFonts w:ascii="Roboto" w:eastAsia="Roboto" w:hAnsi="Roboto" w:cs="Roboto"/>
          <w:color w:val="555F69"/>
          <w:sz w:val="24"/>
          <w:szCs w:val="24"/>
        </w:rPr>
        <w:t>Kapitalgeber:innen</w:t>
      </w:r>
      <w:proofErr w:type="gramEnd"/>
      <w:r>
        <w:rPr>
          <w:rFonts w:ascii="Roboto" w:eastAsia="Roboto" w:hAnsi="Roboto" w:cs="Roboto"/>
          <w:color w:val="555F69"/>
          <w:sz w:val="24"/>
          <w:szCs w:val="24"/>
        </w:rPr>
        <w:t xml:space="preserve"> strategisch vernetzen: zum einen ein exklusives, kuratiertes Matchmaking für grüne</w:t>
      </w:r>
      <w:r>
        <w:rPr>
          <w:rFonts w:ascii="Roboto" w:eastAsia="Roboto" w:hAnsi="Roboto" w:cs="Roboto"/>
          <w:color w:val="555F69"/>
          <w:sz w:val="24"/>
          <w:szCs w:val="24"/>
        </w:rPr>
        <w:t>, innovative Business-Modelle</w:t>
      </w:r>
      <w:r>
        <w:rPr>
          <w:rFonts w:ascii="Roboto" w:eastAsia="Roboto" w:hAnsi="Roboto" w:cs="Roboto"/>
          <w:color w:val="555F69"/>
          <w:sz w:val="24"/>
          <w:szCs w:val="24"/>
        </w:rPr>
        <w:t xml:space="preserve"> und zum anderen eine Green Finance-Messe. Bewerben Sie sich bis 16. Februar 2025 für die beiden Programmpunkte unter </w:t>
      </w:r>
      <w:hyperlink r:id="rId5">
        <w:r>
          <w:rPr>
            <w:rFonts w:ascii="Roboto" w:eastAsia="Roboto" w:hAnsi="Roboto" w:cs="Roboto"/>
            <w:color w:val="F06900"/>
            <w:sz w:val="24"/>
            <w:szCs w:val="24"/>
            <w:u w:val="single"/>
          </w:rPr>
          <w:t>www.thegreen100.at</w:t>
        </w:r>
      </w:hyperlink>
      <w:r>
        <w:rPr>
          <w:rFonts w:ascii="Roboto" w:eastAsia="Roboto" w:hAnsi="Roboto" w:cs="Roboto"/>
          <w:color w:val="555F69"/>
          <w:sz w:val="24"/>
          <w:szCs w:val="24"/>
        </w:rPr>
        <w:t>.</w:t>
      </w:r>
    </w:p>
    <w:p w14:paraId="00000004" w14:textId="77777777" w:rsidR="009E347A" w:rsidRDefault="00000000">
      <w:pPr>
        <w:spacing w:after="180" w:line="360" w:lineRule="auto"/>
        <w:rPr>
          <w:rFonts w:ascii="Roboto" w:eastAsia="Roboto" w:hAnsi="Roboto" w:cs="Roboto"/>
          <w:color w:val="555F69"/>
          <w:sz w:val="24"/>
          <w:szCs w:val="24"/>
        </w:rPr>
      </w:pPr>
      <w:r>
        <w:rPr>
          <w:rFonts w:ascii="Roboto" w:eastAsia="Roboto" w:hAnsi="Roboto" w:cs="Roboto"/>
          <w:color w:val="555F69"/>
          <w:sz w:val="24"/>
          <w:szCs w:val="24"/>
        </w:rPr>
        <w:t>Auch 2025 stellt „The Green 100“ die wirtschaftlichen Chancen einer grünen Transformation in den Fokus. Innovative, klimafreundliche Technologien, Produkte und Dienstleistungen sind entscheidend für diesen Wandel. Heimische Unternehmen, die frühzeitig auf grüne Strategien setzen, können sich damit als Vorreiter positionieren und sich Wettbewerbsvorteile sichern. Denn Nachhaltigkeit gewinnt für viele Stakeholder zunehmend an Bedeutung und zieht sowohl Investor:innen als auch Arbeitskräfte an.</w:t>
      </w:r>
    </w:p>
    <w:p w14:paraId="00000005" w14:textId="77777777" w:rsidR="009E347A" w:rsidRDefault="00000000">
      <w:pPr>
        <w:spacing w:after="180" w:line="360" w:lineRule="auto"/>
        <w:rPr>
          <w:rFonts w:ascii="Roboto" w:eastAsia="Roboto" w:hAnsi="Roboto" w:cs="Roboto"/>
          <w:color w:val="555F69"/>
          <w:sz w:val="24"/>
          <w:szCs w:val="24"/>
        </w:rPr>
      </w:pPr>
      <w:r>
        <w:rPr>
          <w:rFonts w:ascii="Roboto" w:eastAsia="Roboto" w:hAnsi="Roboto" w:cs="Roboto"/>
          <w:color w:val="555F69"/>
          <w:sz w:val="24"/>
          <w:szCs w:val="24"/>
        </w:rPr>
        <w:t>Matchmaking und Messe - Jetzt bewerben!</w:t>
      </w:r>
    </w:p>
    <w:p w14:paraId="00000006" w14:textId="77777777" w:rsidR="009E347A" w:rsidRDefault="00000000">
      <w:pPr>
        <w:spacing w:after="180" w:line="360" w:lineRule="auto"/>
        <w:rPr>
          <w:rFonts w:ascii="Roboto" w:eastAsia="Roboto" w:hAnsi="Roboto" w:cs="Roboto"/>
          <w:color w:val="555F69"/>
          <w:sz w:val="24"/>
          <w:szCs w:val="24"/>
        </w:rPr>
      </w:pPr>
      <w:r>
        <w:rPr>
          <w:rFonts w:ascii="Roboto" w:eastAsia="Roboto" w:hAnsi="Roboto" w:cs="Roboto"/>
          <w:color w:val="555F69"/>
          <w:sz w:val="24"/>
          <w:szCs w:val="24"/>
        </w:rPr>
        <w:t>Das Festival bietet zwei zentrale Programmschwerpunkte:</w:t>
      </w:r>
    </w:p>
    <w:p w14:paraId="00000007" w14:textId="386E19C6" w:rsidR="009E347A" w:rsidRDefault="00000000">
      <w:pPr>
        <w:numPr>
          <w:ilvl w:val="0"/>
          <w:numId w:val="1"/>
        </w:numPr>
      </w:pPr>
      <w:r>
        <w:rPr>
          <w:rFonts w:ascii="Roboto" w:eastAsia="Roboto" w:hAnsi="Roboto" w:cs="Roboto"/>
          <w:color w:val="555F69"/>
          <w:sz w:val="24"/>
          <w:szCs w:val="24"/>
        </w:rPr>
        <w:lastRenderedPageBreak/>
        <w:t xml:space="preserve">Matchmaking: Ein maßgeschneidertes Matchmaking bringt </w:t>
      </w:r>
      <w:r>
        <w:rPr>
          <w:rFonts w:ascii="Roboto" w:eastAsia="Roboto" w:hAnsi="Roboto" w:cs="Roboto"/>
          <w:color w:val="555F69"/>
          <w:sz w:val="24"/>
          <w:szCs w:val="24"/>
        </w:rPr>
        <w:t>grüne, innovative Business-Modelle</w:t>
      </w:r>
      <w:r w:rsidR="00BC20A3">
        <w:rPr>
          <w:rFonts w:ascii="Roboto" w:eastAsia="Roboto" w:hAnsi="Roboto" w:cs="Roboto"/>
          <w:color w:val="555F69"/>
          <w:sz w:val="24"/>
          <w:szCs w:val="24"/>
        </w:rPr>
        <w:t xml:space="preserve"> </w:t>
      </w:r>
      <w:r>
        <w:rPr>
          <w:rFonts w:ascii="Roboto" w:eastAsia="Roboto" w:hAnsi="Roboto" w:cs="Roboto"/>
          <w:color w:val="555F69"/>
          <w:sz w:val="24"/>
          <w:szCs w:val="24"/>
        </w:rPr>
        <w:t xml:space="preserve">mit </w:t>
      </w:r>
      <w:proofErr w:type="spellStart"/>
      <w:proofErr w:type="gramStart"/>
      <w:r>
        <w:rPr>
          <w:rFonts w:ascii="Roboto" w:eastAsia="Roboto" w:hAnsi="Roboto" w:cs="Roboto"/>
          <w:color w:val="555F69"/>
          <w:sz w:val="24"/>
          <w:szCs w:val="24"/>
        </w:rPr>
        <w:t>Investor:innen</w:t>
      </w:r>
      <w:proofErr w:type="spellEnd"/>
      <w:proofErr w:type="gramEnd"/>
      <w:r>
        <w:rPr>
          <w:rFonts w:ascii="Roboto" w:eastAsia="Roboto" w:hAnsi="Roboto" w:cs="Roboto"/>
          <w:color w:val="555F69"/>
          <w:sz w:val="24"/>
          <w:szCs w:val="24"/>
        </w:rPr>
        <w:t xml:space="preserve"> aus Mittel- und Osteuropa (CEE) zusammen. Ziel ist es, optimale „Matches“ zu schaffen</w:t>
      </w:r>
      <w:r>
        <w:rPr>
          <w:rFonts w:ascii="Roboto" w:eastAsia="Roboto" w:hAnsi="Roboto" w:cs="Roboto"/>
          <w:color w:val="555F69"/>
          <w:sz w:val="24"/>
          <w:szCs w:val="24"/>
        </w:rPr>
        <w:t xml:space="preserve">, </w:t>
      </w:r>
      <w:r>
        <w:rPr>
          <w:rFonts w:ascii="Roboto" w:eastAsia="Roboto" w:hAnsi="Roboto" w:cs="Roboto"/>
          <w:color w:val="555F69"/>
          <w:sz w:val="24"/>
          <w:szCs w:val="24"/>
        </w:rPr>
        <w:t>die beiden Seiten den größten Nutzen bieten und den Zugang zu Kapital für grüne Innovationen ermöglichen.</w:t>
      </w:r>
    </w:p>
    <w:p w14:paraId="00000008" w14:textId="77777777" w:rsidR="009E347A" w:rsidRDefault="00000000">
      <w:pPr>
        <w:numPr>
          <w:ilvl w:val="0"/>
          <w:numId w:val="1"/>
        </w:numPr>
        <w:spacing w:after="240"/>
      </w:pPr>
      <w:r>
        <w:rPr>
          <w:rFonts w:ascii="Roboto" w:eastAsia="Roboto" w:hAnsi="Roboto" w:cs="Roboto"/>
          <w:color w:val="555F69"/>
          <w:sz w:val="24"/>
          <w:szCs w:val="24"/>
        </w:rPr>
        <w:t>Green Finance-Messe: Die Messe präsentiert eine breite Palette nachhaltiger Finanzprodukte, Plattformen zur Vernetzung und Finanzierung, Unterstützungsleistungen und digitale Tools, die die Finanzierbarkeit grüner Projekte verbessern.</w:t>
      </w:r>
    </w:p>
    <w:p w14:paraId="00000009" w14:textId="77777777" w:rsidR="009E347A" w:rsidRDefault="00000000">
      <w:pPr>
        <w:spacing w:after="180" w:line="360" w:lineRule="auto"/>
        <w:rPr>
          <w:rFonts w:ascii="Roboto" w:eastAsia="Roboto" w:hAnsi="Roboto" w:cs="Roboto"/>
          <w:color w:val="555F69"/>
          <w:sz w:val="24"/>
          <w:szCs w:val="24"/>
        </w:rPr>
      </w:pPr>
      <w:r>
        <w:rPr>
          <w:rFonts w:ascii="Roboto" w:eastAsia="Roboto" w:hAnsi="Roboto" w:cs="Roboto"/>
          <w:color w:val="555F69"/>
          <w:sz w:val="24"/>
          <w:szCs w:val="24"/>
        </w:rPr>
        <w:t>Möchten Sie Aussteller:in auf der Green Finance-Messe werden oder haben Interesse am Matchmaking? Bewerben Sie sich bis zum 16. Februar 2025</w:t>
      </w:r>
      <w:r>
        <w:rPr>
          <w:rFonts w:ascii="Roboto" w:eastAsia="Roboto" w:hAnsi="Roboto" w:cs="Roboto"/>
          <w:color w:val="555F69"/>
          <w:sz w:val="24"/>
          <w:szCs w:val="24"/>
        </w:rPr>
        <w:t>, 12:00 Uhr</w:t>
      </w:r>
      <w:r>
        <w:rPr>
          <w:rFonts w:ascii="Roboto" w:eastAsia="Roboto" w:hAnsi="Roboto" w:cs="Roboto"/>
          <w:color w:val="555F69"/>
          <w:sz w:val="24"/>
          <w:szCs w:val="24"/>
        </w:rPr>
        <w:t xml:space="preserve"> kostenlos unter </w:t>
      </w:r>
      <w:hyperlink r:id="rId6">
        <w:r>
          <w:rPr>
            <w:rFonts w:ascii="Roboto" w:eastAsia="Roboto" w:hAnsi="Roboto" w:cs="Roboto"/>
            <w:color w:val="F06900"/>
            <w:sz w:val="24"/>
            <w:szCs w:val="24"/>
            <w:u w:val="single"/>
          </w:rPr>
          <w:t>www.thegreen100.at</w:t>
        </w:r>
      </w:hyperlink>
      <w:r>
        <w:rPr>
          <w:rFonts w:ascii="Roboto" w:eastAsia="Roboto" w:hAnsi="Roboto" w:cs="Roboto"/>
          <w:color w:val="555F69"/>
          <w:sz w:val="24"/>
          <w:szCs w:val="24"/>
        </w:rPr>
        <w:t>.</w:t>
      </w:r>
    </w:p>
    <w:p w14:paraId="0000000A" w14:textId="77777777" w:rsidR="009E347A" w:rsidRDefault="00000000">
      <w:pPr>
        <w:spacing w:after="180" w:line="360" w:lineRule="auto"/>
        <w:rPr>
          <w:rFonts w:ascii="Roboto" w:eastAsia="Roboto" w:hAnsi="Roboto" w:cs="Roboto"/>
          <w:color w:val="555F69"/>
          <w:sz w:val="24"/>
          <w:szCs w:val="24"/>
        </w:rPr>
      </w:pPr>
      <w:r>
        <w:rPr>
          <w:rFonts w:ascii="Roboto" w:eastAsia="Roboto" w:hAnsi="Roboto" w:cs="Roboto"/>
          <w:color w:val="555F69"/>
          <w:sz w:val="24"/>
          <w:szCs w:val="24"/>
        </w:rPr>
        <w:t>Neben Messe und Matchmaking erwartet die Teilnehmer:innen ein abwechslungsreiches Rahmenprogramm mit Workshops, Diskussionsrunden und Vorträgen führender Expert:innen aus dem Bereich Green Finance. Besucher:innen können sich zudem umfassend über nachhaltige Anlagemöglichkeiten und finanzielle Weiterbildung informieren.</w:t>
      </w:r>
    </w:p>
    <w:p w14:paraId="0000000B" w14:textId="77777777" w:rsidR="009E347A" w:rsidRPr="00BC20A3" w:rsidRDefault="00000000">
      <w:pPr>
        <w:spacing w:after="180" w:line="360" w:lineRule="auto"/>
        <w:rPr>
          <w:rFonts w:ascii="Roboto" w:eastAsia="Roboto" w:hAnsi="Roboto" w:cs="Roboto"/>
          <w:color w:val="555F69"/>
          <w:sz w:val="24"/>
          <w:szCs w:val="24"/>
          <w:lang w:val="en-US"/>
        </w:rPr>
      </w:pPr>
      <w:r w:rsidRPr="00BC20A3">
        <w:rPr>
          <w:rFonts w:ascii="Roboto" w:eastAsia="Roboto" w:hAnsi="Roboto" w:cs="Roboto"/>
          <w:color w:val="555F69"/>
          <w:sz w:val="24"/>
          <w:szCs w:val="24"/>
          <w:lang w:val="en-US"/>
        </w:rPr>
        <w:t>Save the Date!</w:t>
      </w:r>
    </w:p>
    <w:p w14:paraId="0000000C" w14:textId="77777777" w:rsidR="009E347A" w:rsidRDefault="00000000">
      <w:pPr>
        <w:spacing w:after="180" w:line="360" w:lineRule="auto"/>
      </w:pPr>
      <w:r w:rsidRPr="00BC20A3">
        <w:rPr>
          <w:rFonts w:ascii="Roboto" w:eastAsia="Roboto" w:hAnsi="Roboto" w:cs="Roboto"/>
          <w:color w:val="555F69"/>
          <w:sz w:val="24"/>
          <w:szCs w:val="24"/>
          <w:lang w:val="en-US"/>
        </w:rPr>
        <w:t xml:space="preserve">Termin: </w:t>
      </w:r>
      <w:proofErr w:type="spellStart"/>
      <w:r w:rsidRPr="00BC20A3">
        <w:rPr>
          <w:rFonts w:ascii="Roboto" w:eastAsia="Roboto" w:hAnsi="Roboto" w:cs="Roboto"/>
          <w:color w:val="555F69"/>
          <w:sz w:val="24"/>
          <w:szCs w:val="24"/>
          <w:lang w:val="en-US"/>
        </w:rPr>
        <w:t>Mittwoch</w:t>
      </w:r>
      <w:proofErr w:type="spellEnd"/>
      <w:r w:rsidRPr="00BC20A3">
        <w:rPr>
          <w:rFonts w:ascii="Roboto" w:eastAsia="Roboto" w:hAnsi="Roboto" w:cs="Roboto"/>
          <w:color w:val="555F69"/>
          <w:sz w:val="24"/>
          <w:szCs w:val="24"/>
          <w:lang w:val="en-US"/>
        </w:rPr>
        <w:t xml:space="preserve">, 14. </w:t>
      </w:r>
      <w:r>
        <w:rPr>
          <w:rFonts w:ascii="Roboto" w:eastAsia="Roboto" w:hAnsi="Roboto" w:cs="Roboto"/>
          <w:color w:val="555F69"/>
          <w:sz w:val="24"/>
          <w:szCs w:val="24"/>
        </w:rPr>
        <w:t>Mai 2025</w:t>
      </w:r>
      <w:r>
        <w:rPr>
          <w:rFonts w:ascii="Roboto" w:eastAsia="Roboto" w:hAnsi="Roboto" w:cs="Roboto"/>
          <w:color w:val="555F69"/>
          <w:sz w:val="24"/>
          <w:szCs w:val="24"/>
        </w:rPr>
        <w:br/>
        <w:t>10.00 Uhr bis 18.00 Uhr</w:t>
      </w:r>
      <w:r>
        <w:rPr>
          <w:rFonts w:ascii="Roboto" w:eastAsia="Roboto" w:hAnsi="Roboto" w:cs="Roboto"/>
          <w:color w:val="555F69"/>
          <w:sz w:val="24"/>
          <w:szCs w:val="24"/>
        </w:rPr>
        <w:br/>
        <w:t>Aula der Wissenschaften, Wollzeile 27a, 1010 Wien</w:t>
      </w:r>
      <w:r>
        <w:rPr>
          <w:rFonts w:ascii="Roboto" w:eastAsia="Roboto" w:hAnsi="Roboto" w:cs="Roboto"/>
          <w:color w:val="555F69"/>
          <w:sz w:val="24"/>
          <w:szCs w:val="24"/>
        </w:rPr>
        <w:br/>
        <w:t>Eintritt frei!</w:t>
      </w:r>
    </w:p>
    <w:sectPr w:rsidR="009E347A">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Roboto">
    <w:charset w:val="00"/>
    <w:family w:val="auto"/>
    <w:pitch w:val="variable"/>
    <w:sig w:usb0="E0000AFF" w:usb1="5000217F" w:usb2="00000021" w:usb3="00000000" w:csb0="0000019F" w:csb1="00000000"/>
    <w:embedRegular r:id="rId1" w:fontKey="{BE88AA20-DAD3-4579-A87D-277C9C511FBB}"/>
    <w:embedItalic r:id="rId2" w:fontKey="{0AA214D5-76BD-4A64-BCFF-4A9391854181}"/>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3" w:fontKey="{45E18023-5BC8-452A-BC06-375D79A51C1F}"/>
  </w:font>
  <w:font w:name="Cambria">
    <w:panose1 w:val="02040503050406030204"/>
    <w:charset w:val="00"/>
    <w:family w:val="roman"/>
    <w:pitch w:val="variable"/>
    <w:sig w:usb0="E00006FF" w:usb1="420024FF" w:usb2="02000000" w:usb3="00000000" w:csb0="0000019F" w:csb1="00000000"/>
    <w:embedRegular r:id="rId4" w:fontKey="{F659AE5B-113B-4A8F-B70C-3844380153A8}"/>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6BF7299"/>
    <w:multiLevelType w:val="multilevel"/>
    <w:tmpl w:val="4CF834C6"/>
    <w:lvl w:ilvl="0">
      <w:start w:val="1"/>
      <w:numFmt w:val="bullet"/>
      <w:lvlText w:val="●"/>
      <w:lvlJc w:val="left"/>
      <w:pPr>
        <w:ind w:left="720" w:hanging="360"/>
      </w:pPr>
      <w:rPr>
        <w:rFonts w:ascii="Roboto" w:eastAsia="Roboto" w:hAnsi="Roboto" w:cs="Roboto"/>
        <w:color w:val="555F69"/>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85985996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347A"/>
    <w:rsid w:val="009E347A"/>
    <w:rsid w:val="00BC20A3"/>
    <w:rsid w:val="00C343CA"/>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B8FA7B"/>
  <w15:docId w15:val="{25D9A920-ADB7-4458-8CF6-1AFC732FF7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de" w:eastAsia="de-A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00" w:after="120"/>
      <w:outlineLvl w:val="0"/>
    </w:pPr>
    <w:rPr>
      <w:sz w:val="40"/>
      <w:szCs w:val="40"/>
    </w:rPr>
  </w:style>
  <w:style w:type="paragraph" w:styleId="berschrift2">
    <w:name w:val="heading 2"/>
    <w:basedOn w:val="Standard"/>
    <w:next w:val="Standard"/>
    <w:uiPriority w:val="9"/>
    <w:semiHidden/>
    <w:unhideWhenUsed/>
    <w:qFormat/>
    <w:pPr>
      <w:keepNext/>
      <w:keepLines/>
      <w:spacing w:before="360" w:after="120"/>
      <w:outlineLvl w:val="1"/>
    </w:pPr>
    <w:rPr>
      <w:sz w:val="32"/>
      <w:szCs w:val="32"/>
    </w:rPr>
  </w:style>
  <w:style w:type="paragraph" w:styleId="berschrift3">
    <w:name w:val="heading 3"/>
    <w:basedOn w:val="Standard"/>
    <w:next w:val="Standard"/>
    <w:uiPriority w:val="9"/>
    <w:semiHidden/>
    <w:unhideWhenUsed/>
    <w:qFormat/>
    <w:pPr>
      <w:keepNext/>
      <w:keepLines/>
      <w:spacing w:before="320" w:after="80"/>
      <w:outlineLvl w:val="2"/>
    </w:pPr>
    <w:rPr>
      <w:color w:val="434343"/>
      <w:sz w:val="28"/>
      <w:szCs w:val="28"/>
    </w:rPr>
  </w:style>
  <w:style w:type="paragraph" w:styleId="berschrift4">
    <w:name w:val="heading 4"/>
    <w:basedOn w:val="Standard"/>
    <w:next w:val="Standard"/>
    <w:uiPriority w:val="9"/>
    <w:semiHidden/>
    <w:unhideWhenUsed/>
    <w:qFormat/>
    <w:pPr>
      <w:keepNext/>
      <w:keepLines/>
      <w:spacing w:before="280" w:after="80"/>
      <w:outlineLvl w:val="3"/>
    </w:pPr>
    <w:rPr>
      <w:color w:val="666666"/>
      <w:sz w:val="24"/>
      <w:szCs w:val="24"/>
    </w:rPr>
  </w:style>
  <w:style w:type="paragraph" w:styleId="berschrift5">
    <w:name w:val="heading 5"/>
    <w:basedOn w:val="Standard"/>
    <w:next w:val="Standard"/>
    <w:uiPriority w:val="9"/>
    <w:semiHidden/>
    <w:unhideWhenUsed/>
    <w:qFormat/>
    <w:pPr>
      <w:keepNext/>
      <w:keepLines/>
      <w:spacing w:before="240" w:after="80"/>
      <w:outlineLvl w:val="4"/>
    </w:pPr>
    <w:rPr>
      <w:color w:val="666666"/>
    </w:rPr>
  </w:style>
  <w:style w:type="paragraph" w:styleId="berschrift6">
    <w:name w:val="heading 6"/>
    <w:basedOn w:val="Standard"/>
    <w:next w:val="Standard"/>
    <w:uiPriority w:val="9"/>
    <w:semiHidden/>
    <w:unhideWhenUsed/>
    <w:qFormat/>
    <w:pPr>
      <w:keepNext/>
      <w:keepLines/>
      <w:spacing w:before="240" w:after="80"/>
      <w:outlineLvl w:val="5"/>
    </w:pPr>
    <w:rPr>
      <w:i/>
      <w:color w:val="66666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after="60"/>
    </w:pPr>
    <w:rPr>
      <w:sz w:val="52"/>
      <w:szCs w:val="52"/>
    </w:rPr>
  </w:style>
  <w:style w:type="paragraph" w:styleId="Untertitel">
    <w:name w:val="Subtitle"/>
    <w:basedOn w:val="Standard"/>
    <w:next w:val="Standard"/>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thegreen100.at/" TargetMode="External"/><Relationship Id="rId5" Type="http://schemas.openxmlformats.org/officeDocument/2006/relationships/hyperlink" Target="http://www.thegreen100.at/" TargetMode="Externa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384</Words>
  <Characters>2425</Characters>
  <Application>Microsoft Office Word</Application>
  <DocSecurity>0</DocSecurity>
  <Lines>20</Lines>
  <Paragraphs>5</Paragraphs>
  <ScaleCrop>false</ScaleCrop>
  <Company>Klima- und Energiefonds</Company>
  <LinksUpToDate>false</LinksUpToDate>
  <CharactersWithSpaces>2804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Christina Mittermeier</dc:creator>
  <cp:lastModifiedBy>Christina Mittermeier</cp:lastModifiedBy>
  <cp:revision>2</cp:revision>
  <dcterms:created xsi:type="dcterms:W3CDTF">2024-12-12T14:10:00Z</dcterms:created>
  <dcterms:modified xsi:type="dcterms:W3CDTF">2024-12-12T14:10:00Z</dcterms:modified>
</cp:coreProperties>
</file>